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  <w:t>项目需求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项目概况</w:t>
      </w:r>
    </w:p>
    <w:p>
      <w:pPr>
        <w:spacing w:line="360" w:lineRule="auto"/>
        <w:ind w:left="0" w:leftChars="0" w:firstLine="420" w:firstLineChars="17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负责提供法务区服务大厅、各公共区域及办公区域场地，负责将场地施工至达到法务区规划标准；存在多层空间时，需打通并可通过楼梯到达；公共区域与办公区域相对独立；对现代化、智能化、交通便利程度等方面要求较高，满足智慧化运营需求。</w:t>
      </w:r>
    </w:p>
    <w:p>
      <w:pPr>
        <w:spacing w:line="360" w:lineRule="auto"/>
        <w:ind w:left="0" w:leftChars="0" w:firstLine="420" w:firstLineChars="175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项目预算金额约：人民币11,500,000.00元。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周边公共设施要求</w:t>
      </w:r>
    </w:p>
    <w:p>
      <w:pPr>
        <w:spacing w:line="360" w:lineRule="auto"/>
        <w:ind w:left="0" w:leftChars="0" w:firstLine="420" w:firstLineChars="17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位置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要求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佛山市禅城区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季华路沿线写字楼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>
      <w:pPr>
        <w:spacing w:line="360" w:lineRule="auto"/>
        <w:ind w:left="0" w:leftChars="0" w:firstLine="420" w:firstLineChars="17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交通便利，临近马路、公交站、地铁站。同时，建筑物所属地块内需配套有停车场，供应商需提供不少于20个停车位供采购人长期租赁使用。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项目要求</w:t>
      </w:r>
    </w:p>
    <w:p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租赁物面积：建筑面积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约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4500㎡至4800㎡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楼层下方不能有居民住宅，层高不低于3米。共有公摊面积不超过租赁面积的20%，房屋实际测绘面积误差比绝对值在3%以内。出租楼层需有不少于3部电梯直达，位于同一建筑物内、整层或连续楼层出租、内墙可自由分隔。</w:t>
      </w:r>
    </w:p>
    <w:p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房屋不涉及任何债务，其所发生的相关物业费、维修基金、水电、燃气、通讯设备、有线电视、垃圾等相关费用已全部缴清。</w:t>
      </w:r>
    </w:p>
    <w:p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水电费按采购人每月实际用量缴交，每月10日前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提供水电费确认单确认后，采购人收到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提供有效的代收水电发票15个工作日内支付相应费用。</w:t>
      </w:r>
    </w:p>
    <w:p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必须为非住宅用途，确保物业无查封、抵押、担保等事项，没有其他法律纠纷。剩余使用年限：不少于10年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场地交付基本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要求</w:t>
      </w:r>
    </w:p>
    <w:p>
      <w:pPr>
        <w:numPr>
          <w:ilvl w:val="0"/>
          <w:numId w:val="3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场地交付须达到采购人设计要求，整体风格体现设计感、亲民度与岭南文化特色。</w:t>
      </w:r>
    </w:p>
    <w:p>
      <w:pPr>
        <w:numPr>
          <w:ilvl w:val="0"/>
          <w:numId w:val="3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需打通各层部分空间，使内部各层可通过小步梯实现空间贯通，内部动线应便利、合理。对外公共服务空间、共享空间及内部办公区域应相对独立。</w:t>
      </w:r>
    </w:p>
    <w:p>
      <w:pPr>
        <w:numPr>
          <w:ilvl w:val="0"/>
          <w:numId w:val="3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合理安排内部各功能区空间，主要功能板块包括：</w:t>
      </w:r>
    </w:p>
    <w:p>
      <w:pPr>
        <w:numPr>
          <w:ilvl w:val="0"/>
          <w:numId w:val="4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服务大厅配套对应等待区、休息区、洽谈区，前台配备隐私性较好的独立窗口；</w:t>
      </w:r>
    </w:p>
    <w:p>
      <w:pPr>
        <w:numPr>
          <w:ilvl w:val="0"/>
          <w:numId w:val="4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需有多个办公室容纳合规研究中心、工商联、法学会律师工作室、公安、检察院案件听证、公证服务等办公需求；需要具有一定规模大小的会议室承接涉外法治人才培训基地功能；</w:t>
      </w:r>
    </w:p>
    <w:p>
      <w:pPr>
        <w:numPr>
          <w:ilvl w:val="0"/>
          <w:numId w:val="4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highlight w:val="none"/>
          <w:lang w:val="en-US" w:eastAsia="zh-CN"/>
        </w:rPr>
        <w:t>调解区域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配套大中小调解室4至5个及工作人员办公室、接待室、洽谈室、展示区共计约400-650㎡；</w:t>
      </w:r>
    </w:p>
    <w:p>
      <w:pPr>
        <w:numPr>
          <w:ilvl w:val="0"/>
          <w:numId w:val="4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highlight w:val="none"/>
          <w:lang w:val="en-US" w:eastAsia="zh-CN"/>
        </w:rPr>
        <w:t>法庭审判区域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需配备符合法院标准的双通道安检系统，内设6至7个符合规范要求的审判庭、2至3个调解室及工作人员办公区域、律师休息室共计约1600-1800㎡，安装智慧法庭审判系统；</w:t>
      </w:r>
    </w:p>
    <w:p>
      <w:pPr>
        <w:numPr>
          <w:ilvl w:val="0"/>
          <w:numId w:val="4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highlight w:val="none"/>
          <w:lang w:val="en-US" w:eastAsia="zh-CN"/>
        </w:rPr>
        <w:t>仲裁区域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设置3至4个仲裁庭及洽谈室、对应休息区域、多功能室及工作人员办公区域；</w:t>
      </w:r>
    </w:p>
    <w:p>
      <w:pPr>
        <w:numPr>
          <w:ilvl w:val="0"/>
          <w:numId w:val="4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highlight w:val="none"/>
          <w:lang w:val="en-US" w:eastAsia="zh-CN"/>
        </w:rPr>
        <w:t>涉外法律服务中心区域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设置荣誉展示区及域外法律查明中心、大湾区律师工作室、知识产权保护、反倾销办公室。</w:t>
      </w:r>
    </w:p>
    <w:p>
      <w:pPr>
        <w:numPr>
          <w:ilvl w:val="0"/>
          <w:numId w:val="4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安装法务区智慧协同办公系统，实现服务大厅与内部各办公室及入驻机构间交流互通，于对外公共休息区、等待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区设置服务指引装置。</w:t>
      </w:r>
    </w:p>
    <w:p>
      <w:pPr>
        <w:numPr>
          <w:ilvl w:val="0"/>
          <w:numId w:val="3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基本要求：</w:t>
      </w:r>
    </w:p>
    <w:p>
      <w:pPr>
        <w:numPr>
          <w:ilvl w:val="0"/>
          <w:numId w:val="5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装饰工程：天花、墙身、地面、防水、抹灰、油漆、铺装、间墙和二次消防工程；</w:t>
      </w:r>
    </w:p>
    <w:p>
      <w:pPr>
        <w:numPr>
          <w:ilvl w:val="0"/>
          <w:numId w:val="5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水电安装：给排水包括终端管道及其安装工程；电包括配电、照明及管线安装；</w:t>
      </w:r>
    </w:p>
    <w:p>
      <w:pPr>
        <w:numPr>
          <w:ilvl w:val="0"/>
          <w:numId w:val="5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通风空调：分区供冷，主要包括空调设备及通风设施安装；</w:t>
      </w:r>
    </w:p>
    <w:p>
      <w:pPr>
        <w:numPr>
          <w:ilvl w:val="0"/>
          <w:numId w:val="5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智能化：综合管线、网络和视频监控；</w:t>
      </w:r>
    </w:p>
    <w:p>
      <w:pPr>
        <w:numPr>
          <w:ilvl w:val="0"/>
          <w:numId w:val="5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标识：包括但不限于房间牌号、功能房间和公共区域等导向指示牌；</w:t>
      </w:r>
    </w:p>
    <w:p>
      <w:pPr>
        <w:numPr>
          <w:ilvl w:val="0"/>
          <w:numId w:val="5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为了方便办事群众及大厅工作人员的车辆停放，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需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配套公共停车场地。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具体要求</w:t>
      </w:r>
    </w:p>
    <w:p>
      <w:pPr>
        <w:numPr>
          <w:ilvl w:val="0"/>
          <w:numId w:val="0"/>
        </w:numPr>
        <w:spacing w:line="360" w:lineRule="auto"/>
        <w:ind w:left="0" w:leftChars="0" w:firstLine="420" w:firstLineChars="175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为钢筋混凝土框架结构，场地状况良好、通风、采光明亮，周边环境舒适。具有良好室内外装修及办公环境条件，设有公共区域、办公区域，会议区域及辅助功能房等功能空间，</w:t>
      </w:r>
      <w:r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highlight w:val="none"/>
          <w:lang w:val="en-US" w:eastAsia="zh-CN"/>
        </w:rPr>
        <w:t>各区域网线、弱电线路铺设起码能满足一般用电器及2-10人办公电脑、传真机、打印机和电话机等办公需求，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可实现拎包入驻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其中:</w:t>
      </w:r>
    </w:p>
    <w:p>
      <w:pPr>
        <w:numPr>
          <w:ilvl w:val="0"/>
          <w:numId w:val="6"/>
        </w:num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A区域</w:t>
      </w:r>
    </w:p>
    <w:p>
      <w:pPr>
        <w:numPr>
          <w:ilvl w:val="0"/>
          <w:numId w:val="7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办公区域8个，每个办公室面积不小于11平方米；</w:t>
      </w:r>
    </w:p>
    <w:p>
      <w:pPr>
        <w:numPr>
          <w:ilvl w:val="0"/>
          <w:numId w:val="7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调解室及备用调解室共4个，其中大调解室1个，面积不小于54平方米；中解调室1个，面积不小于30平方米；小解调室1个，面积不小于25平方米，备用调解室1个，面积不小于84平方米；</w:t>
      </w:r>
    </w:p>
    <w:p>
      <w:pPr>
        <w:numPr>
          <w:ilvl w:val="0"/>
          <w:numId w:val="7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公证室2个，每个面积不小于18平方米；</w:t>
      </w:r>
    </w:p>
    <w:p>
      <w:pPr>
        <w:numPr>
          <w:ilvl w:val="0"/>
          <w:numId w:val="7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资料室3个，每个室面积不小于4平方米；</w:t>
      </w:r>
    </w:p>
    <w:p>
      <w:pPr>
        <w:numPr>
          <w:ilvl w:val="0"/>
          <w:numId w:val="7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洽谈接待2个，每个室面积不小于22平方米；</w:t>
      </w:r>
    </w:p>
    <w:p>
      <w:pPr>
        <w:numPr>
          <w:ilvl w:val="0"/>
          <w:numId w:val="7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休息区，展示2个，展示区面积不少于87平方米；休息区面积不少于29平方米；</w:t>
      </w:r>
    </w:p>
    <w:p>
      <w:pPr>
        <w:numPr>
          <w:ilvl w:val="0"/>
          <w:numId w:val="7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大厅1个，面积不小于300平方米；</w:t>
      </w:r>
    </w:p>
    <w:p>
      <w:pPr>
        <w:numPr>
          <w:ilvl w:val="0"/>
          <w:numId w:val="7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公共走廊，电梯厅，卫生间及茶水间等其他区域共不小于200平方米。</w:t>
      </w:r>
    </w:p>
    <w:p>
      <w:pPr>
        <w:numPr>
          <w:ilvl w:val="0"/>
          <w:numId w:val="6"/>
        </w:num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B区域</w:t>
      </w:r>
    </w:p>
    <w:p>
      <w:pPr>
        <w:numPr>
          <w:ilvl w:val="0"/>
          <w:numId w:val="8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大仲裁室，中仲裁室，小仲裁室各1个，大仲裁室面积不小于45平方米，中仲裁室面积不小于31平方米，小仲裁室面积不小于22平方米；</w:t>
      </w:r>
    </w:p>
    <w:p>
      <w:pPr>
        <w:numPr>
          <w:ilvl w:val="0"/>
          <w:numId w:val="8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办公区域11个，其中小区域10个，每个面积不于9平方米，大区域1个，面积不小于66平方米；</w:t>
      </w:r>
    </w:p>
    <w:p>
      <w:pPr>
        <w:numPr>
          <w:ilvl w:val="0"/>
          <w:numId w:val="8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培训室1个，面积不小于141平方米；</w:t>
      </w:r>
    </w:p>
    <w:p>
      <w:pPr>
        <w:numPr>
          <w:ilvl w:val="0"/>
          <w:numId w:val="8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展示区及服务区1个，面积不小于189平方米；</w:t>
      </w:r>
    </w:p>
    <w:p>
      <w:pPr>
        <w:numPr>
          <w:ilvl w:val="0"/>
          <w:numId w:val="8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休息区，多功能室及洽谈室各1个，休息区面积不小于39平方米，多功能室面积为14平方米，洽谈室面积为24平方米；</w:t>
      </w:r>
    </w:p>
    <w:p>
      <w:pPr>
        <w:numPr>
          <w:ilvl w:val="0"/>
          <w:numId w:val="8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机房1 个，面积不小于9平方米；</w:t>
      </w:r>
    </w:p>
    <w:p>
      <w:pPr>
        <w:numPr>
          <w:ilvl w:val="0"/>
          <w:numId w:val="8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资料室1个，面积不小于16平方米；</w:t>
      </w:r>
    </w:p>
    <w:p>
      <w:pPr>
        <w:numPr>
          <w:ilvl w:val="0"/>
          <w:numId w:val="8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公共走廊，电梯厅，卫生间及茶水间等其他区域共不小于250平方米。</w:t>
      </w:r>
    </w:p>
    <w:p>
      <w:pPr>
        <w:numPr>
          <w:ilvl w:val="0"/>
          <w:numId w:val="6"/>
        </w:num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C区域</w:t>
      </w:r>
    </w:p>
    <w:p>
      <w:pPr>
        <w:numPr>
          <w:ilvl w:val="0"/>
          <w:numId w:val="9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大厅入口服务区，休息区1个，面积不小于200平方米；</w:t>
      </w:r>
    </w:p>
    <w:p>
      <w:pPr>
        <w:numPr>
          <w:ilvl w:val="0"/>
          <w:numId w:val="9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法庭6个，其中大法庭1个，面积不小于96平方米，中法庭2个，每个面积不小于60平方米，小法庭3个，每个面积不小于30平方米；</w:t>
      </w:r>
    </w:p>
    <w:p>
      <w:pPr>
        <w:numPr>
          <w:ilvl w:val="0"/>
          <w:numId w:val="9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调解室2个，每个室面积不小于23平方米；</w:t>
      </w:r>
    </w:p>
    <w:p>
      <w:pPr>
        <w:numPr>
          <w:ilvl w:val="0"/>
          <w:numId w:val="9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合议室1个，面积不小于21平方米；</w:t>
      </w:r>
    </w:p>
    <w:p>
      <w:pPr>
        <w:numPr>
          <w:ilvl w:val="0"/>
          <w:numId w:val="9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办公室12个，其中小办公室4个，每个面积不小于12平方米，4人办公室3个，每个面积不小于36平方米，3人办公室4个，每个面积不小于22平方米，备用办公室1个，面积不小于36平方米；</w:t>
      </w:r>
    </w:p>
    <w:p>
      <w:pPr>
        <w:numPr>
          <w:ilvl w:val="0"/>
          <w:numId w:val="9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讨论室及听证室各各1个，每个面积不小于19平方米；</w:t>
      </w:r>
    </w:p>
    <w:p>
      <w:pPr>
        <w:numPr>
          <w:ilvl w:val="0"/>
          <w:numId w:val="9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其他辅助用房5个，每个面积不小于9平方米；</w:t>
      </w:r>
    </w:p>
    <w:p>
      <w:pPr>
        <w:numPr>
          <w:ilvl w:val="0"/>
          <w:numId w:val="9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档案室及储物室3个，每个面积不小于19平方米；</w:t>
      </w:r>
    </w:p>
    <w:p>
      <w:pPr>
        <w:numPr>
          <w:ilvl w:val="0"/>
          <w:numId w:val="9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机房及设备房4个，每个面积不小于2平方米；</w:t>
      </w:r>
    </w:p>
    <w:p>
      <w:pPr>
        <w:numPr>
          <w:ilvl w:val="0"/>
          <w:numId w:val="9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公共走廊，电梯厅，卫生间及茶水间等其他区域共不小于300平方米。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后续服务要求</w:t>
      </w:r>
    </w:p>
    <w:p>
      <w:pPr>
        <w:numPr>
          <w:ilvl w:val="0"/>
          <w:numId w:val="10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在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租赁期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内，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所投物业面积范围内房屋主体及其公共区域配套设施（公共区域配套设施是指共享的上下水管道、落水管、水箱、加压水泵、电梯、天线、供电线路、通讯线路照明、供气、线路、消防设施、绿地、道路、路灯、沟渠、池、井、公益性文体设施和共享设备使用的房屋等）因正常自然损耗或不可抗力因素致损，成交供应商应及时修缮确保采购人正常使用。回应标的物租赁面积内的配套设施由采购人负责日常维护。</w:t>
      </w:r>
    </w:p>
    <w:p>
      <w:pPr>
        <w:numPr>
          <w:ilvl w:val="0"/>
          <w:numId w:val="10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在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租赁期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内，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负责所投物业面积范围内房屋主体结构及其附属配套设施的维修（因采购人使用不当或人为损坏及不可抗力因素致损的除外）；采购人向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提出维修请求时，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应及时提供维修服务并按双方书面约定的时间内修复。</w:t>
      </w:r>
    </w:p>
    <w:p>
      <w:pPr>
        <w:numPr>
          <w:ilvl w:val="0"/>
          <w:numId w:val="10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对采购人新增的装饰、设备设施部分不负有修缮的义务。</w:t>
      </w:r>
    </w:p>
    <w:p>
      <w:pPr>
        <w:numPr>
          <w:ilvl w:val="0"/>
          <w:numId w:val="10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在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租赁期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内，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负责租赁场所的物业管理服务，做好设施维修养护年审检测工作。</w:t>
      </w:r>
    </w:p>
    <w:p>
      <w:pPr>
        <w:numPr>
          <w:ilvl w:val="0"/>
          <w:numId w:val="0"/>
        </w:numPr>
        <w:spacing w:line="360" w:lineRule="auto"/>
        <w:ind w:leftChars="200"/>
        <w:rPr>
          <w:rFonts w:hint="eastAsia" w:ascii="宋体" w:hAnsi="宋体" w:eastAsia="宋体" w:cs="宋体"/>
          <w:sz w:val="24"/>
          <w:szCs w:val="24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73E01F"/>
    <w:multiLevelType w:val="singleLevel"/>
    <w:tmpl w:val="CA73E01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C13EEE3"/>
    <w:multiLevelType w:val="singleLevel"/>
    <w:tmpl w:val="CC13EEE3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E67A086D"/>
    <w:multiLevelType w:val="singleLevel"/>
    <w:tmpl w:val="E67A086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3CCCECA"/>
    <w:multiLevelType w:val="singleLevel"/>
    <w:tmpl w:val="03CCCECA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108278C9"/>
    <w:multiLevelType w:val="singleLevel"/>
    <w:tmpl w:val="108278C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5">
    <w:nsid w:val="11064D55"/>
    <w:multiLevelType w:val="singleLevel"/>
    <w:tmpl w:val="11064D55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14ED3035"/>
    <w:multiLevelType w:val="singleLevel"/>
    <w:tmpl w:val="14ED3035"/>
    <w:lvl w:ilvl="0" w:tentative="0">
      <w:start w:val="1"/>
      <w:numFmt w:val="decimal"/>
      <w:suff w:val="nothing"/>
      <w:lvlText w:val="（%1）"/>
      <w:lvlJc w:val="left"/>
    </w:lvl>
  </w:abstractNum>
  <w:abstractNum w:abstractNumId="7">
    <w:nsid w:val="1832B078"/>
    <w:multiLevelType w:val="singleLevel"/>
    <w:tmpl w:val="1832B078"/>
    <w:lvl w:ilvl="0" w:tentative="0">
      <w:start w:val="1"/>
      <w:numFmt w:val="decimal"/>
      <w:suff w:val="nothing"/>
      <w:lvlText w:val="（%1）"/>
      <w:lvlJc w:val="left"/>
    </w:lvl>
  </w:abstractNum>
  <w:abstractNum w:abstractNumId="8">
    <w:nsid w:val="28781753"/>
    <w:multiLevelType w:val="singleLevel"/>
    <w:tmpl w:val="28781753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9">
    <w:nsid w:val="503FFEA1"/>
    <w:multiLevelType w:val="singleLevel"/>
    <w:tmpl w:val="503FFEA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9"/>
  </w:num>
  <w:num w:numId="6">
    <w:abstractNumId w:val="0"/>
  </w:num>
  <w:num w:numId="7">
    <w:abstractNumId w:val="7"/>
  </w:num>
  <w:num w:numId="8">
    <w:abstractNumId w:val="3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VjNmZjNDQxMDY4MjIyOWI0MjZkNTE1ZGExNjAyMjMifQ=="/>
  </w:docVars>
  <w:rsids>
    <w:rsidRoot w:val="09E55AB9"/>
    <w:rsid w:val="09E55AB9"/>
    <w:rsid w:val="11D2465C"/>
    <w:rsid w:val="20834385"/>
    <w:rsid w:val="20A84D1D"/>
    <w:rsid w:val="20B024DA"/>
    <w:rsid w:val="22F17642"/>
    <w:rsid w:val="24264EE7"/>
    <w:rsid w:val="2ACD2812"/>
    <w:rsid w:val="2DB328F5"/>
    <w:rsid w:val="39987E7E"/>
    <w:rsid w:val="3BFF2D24"/>
    <w:rsid w:val="4CAE5E6C"/>
    <w:rsid w:val="5FDB7B52"/>
    <w:rsid w:val="7DE70059"/>
    <w:rsid w:val="7F31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2329</Words>
  <Characters>2413</Characters>
  <Lines>0</Lines>
  <Paragraphs>0</Paragraphs>
  <TotalTime>53</TotalTime>
  <ScaleCrop>false</ScaleCrop>
  <LinksUpToDate>false</LinksUpToDate>
  <CharactersWithSpaces>2414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2024-10-22T09:19:00Z</dcterms:created>
  <dc:creator>admin</dc:creator>
  <cp:lastModifiedBy>CCSF</cp:lastModifiedBy>
  <cp:lastPrinted>2024-10-28T06:16:00Z</cp:lastPrinted>
  <dcterms:modified xsi:type="dcterms:W3CDTF">2024-10-28T09:07:45Z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5A941652BBA543E9A371031F8021B6CA</vt:lpwstr>
  </property>
</Properties>
</file>